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7B609" w14:textId="77777777" w:rsidR="00687FCC" w:rsidRPr="009019EA" w:rsidRDefault="00687FCC" w:rsidP="00436CEF">
      <w:pPr>
        <w:keepNext/>
        <w:shd w:val="clear" w:color="auto" w:fill="D9D9D9"/>
        <w:jc w:val="center"/>
        <w:outlineLvl w:val="8"/>
        <w:rPr>
          <w:rFonts w:ascii="Century Gothic" w:eastAsia="Times New Roman" w:hAnsi="Century Gothic"/>
          <w:b/>
          <w:bCs/>
          <w:lang w:val="es-ES" w:eastAsia="es-ES"/>
        </w:rPr>
      </w:pPr>
      <w:r w:rsidRPr="009019EA">
        <w:rPr>
          <w:rFonts w:ascii="Century Gothic" w:eastAsia="Times New Roman" w:hAnsi="Century Gothic"/>
          <w:b/>
          <w:bCs/>
          <w:lang w:val="es-ES" w:eastAsia="es-ES"/>
        </w:rPr>
        <w:t xml:space="preserve">ÁREA COMISIONES LEGISLATIVAS III </w:t>
      </w:r>
    </w:p>
    <w:p w14:paraId="30F1A449" w14:textId="77777777" w:rsidR="00436CEF" w:rsidRPr="009019EA" w:rsidRDefault="00436CEF" w:rsidP="00436CEF">
      <w:pPr>
        <w:keepNext/>
        <w:shd w:val="clear" w:color="auto" w:fill="D9D9D9"/>
        <w:jc w:val="center"/>
        <w:outlineLvl w:val="8"/>
        <w:rPr>
          <w:rFonts w:ascii="Century Gothic" w:eastAsia="Times New Roman" w:hAnsi="Century Gothic"/>
          <w:b/>
          <w:bCs/>
          <w:lang w:val="es-ES" w:eastAsia="es-ES"/>
        </w:rPr>
      </w:pPr>
    </w:p>
    <w:p w14:paraId="711F3229" w14:textId="77777777" w:rsidR="00687FCC" w:rsidRPr="009019EA" w:rsidRDefault="00687FCC" w:rsidP="00436CEF">
      <w:pPr>
        <w:keepNext/>
        <w:shd w:val="clear" w:color="auto" w:fill="D9D9D9"/>
        <w:jc w:val="center"/>
        <w:outlineLvl w:val="5"/>
        <w:rPr>
          <w:rFonts w:ascii="Century Gothic" w:eastAsia="Times New Roman" w:hAnsi="Century Gothic"/>
          <w:b/>
          <w:bCs/>
          <w:u w:val="single"/>
          <w:lang w:val="es-ES" w:eastAsia="es-ES"/>
        </w:rPr>
      </w:pPr>
      <w:r w:rsidRPr="009019EA">
        <w:rPr>
          <w:rFonts w:ascii="Century Gothic" w:eastAsia="Times New Roman" w:hAnsi="Century Gothic"/>
          <w:b/>
          <w:bCs/>
          <w:u w:val="single"/>
          <w:lang w:val="es-ES" w:eastAsia="es-ES"/>
        </w:rPr>
        <w:t>CONTIENE</w:t>
      </w:r>
    </w:p>
    <w:p w14:paraId="262A9367" w14:textId="77777777" w:rsidR="00436CEF" w:rsidRPr="009019EA" w:rsidRDefault="00436CEF" w:rsidP="00436CEF">
      <w:pPr>
        <w:keepNext/>
        <w:shd w:val="clear" w:color="auto" w:fill="D9D9D9"/>
        <w:jc w:val="center"/>
        <w:outlineLvl w:val="5"/>
        <w:rPr>
          <w:rFonts w:ascii="Century Gothic" w:eastAsia="Times New Roman" w:hAnsi="Century Gothic"/>
          <w:b/>
          <w:bCs/>
          <w:u w:val="single"/>
          <w:lang w:val="es-ES" w:eastAsia="es-ES"/>
        </w:rPr>
      </w:pPr>
    </w:p>
    <w:p w14:paraId="54D44642" w14:textId="25A87933" w:rsidR="00687FCC" w:rsidRPr="009019EA" w:rsidRDefault="00687FCC" w:rsidP="00436CEF">
      <w:pPr>
        <w:keepNext/>
        <w:shd w:val="clear" w:color="auto" w:fill="D9D9D9"/>
        <w:jc w:val="center"/>
        <w:outlineLvl w:val="5"/>
        <w:rPr>
          <w:rFonts w:ascii="Century Gothic" w:eastAsia="Times New Roman" w:hAnsi="Century Gothic"/>
          <w:b/>
          <w:bCs/>
          <w:lang w:val="es-ES" w:eastAsia="es-ES"/>
        </w:rPr>
      </w:pPr>
      <w:r w:rsidRPr="009019EA">
        <w:rPr>
          <w:rFonts w:ascii="Century Gothic" w:eastAsia="Times New Roman" w:hAnsi="Century Gothic"/>
          <w:b/>
          <w:bCs/>
          <w:lang w:val="es-ES" w:eastAsia="es-ES"/>
        </w:rPr>
        <w:t>EXPEDIENTE N.º 24.079</w:t>
      </w:r>
    </w:p>
    <w:p w14:paraId="38DD1486" w14:textId="77777777" w:rsidR="00436CEF" w:rsidRPr="009019EA" w:rsidRDefault="00436CEF" w:rsidP="00436CEF">
      <w:pPr>
        <w:keepNext/>
        <w:shd w:val="clear" w:color="auto" w:fill="D9D9D9"/>
        <w:jc w:val="center"/>
        <w:outlineLvl w:val="5"/>
        <w:rPr>
          <w:rFonts w:ascii="Century Gothic" w:eastAsia="Times New Roman" w:hAnsi="Century Gothic"/>
          <w:b/>
          <w:bCs/>
          <w:lang w:val="es-ES" w:eastAsia="es-ES"/>
        </w:rPr>
      </w:pPr>
    </w:p>
    <w:p w14:paraId="37E8347E" w14:textId="0C4571E0" w:rsidR="00BE6E96" w:rsidRPr="009019EA" w:rsidRDefault="00287BE8" w:rsidP="00BE6E96">
      <w:pPr>
        <w:shd w:val="clear" w:color="auto" w:fill="D9D9D9"/>
        <w:jc w:val="center"/>
        <w:rPr>
          <w:rFonts w:ascii="Century Gothic" w:hAnsi="Century Gothic"/>
        </w:rPr>
      </w:pPr>
      <w:r w:rsidRPr="009019EA">
        <w:rPr>
          <w:rFonts w:ascii="Century Gothic" w:hAnsi="Century Gothic"/>
          <w:b/>
          <w:bCs/>
        </w:rPr>
        <w:t xml:space="preserve">TEXTO ACTUALIZADO </w:t>
      </w:r>
      <w:r w:rsidR="00BE6E96" w:rsidRPr="009019EA">
        <w:rPr>
          <w:rFonts w:ascii="Century Gothic" w:hAnsi="Century Gothic"/>
          <w:b/>
          <w:bCs/>
        </w:rPr>
        <w:t xml:space="preserve">CON MOCIÓN DE FONDO </w:t>
      </w:r>
      <w:r w:rsidRPr="009019EA">
        <w:rPr>
          <w:rFonts w:ascii="Century Gothic" w:hAnsi="Century Gothic"/>
          <w:b/>
          <w:bCs/>
        </w:rPr>
        <w:t>VÍA ART. 148BIS, APROBAD</w:t>
      </w:r>
      <w:r w:rsidR="009019EA">
        <w:rPr>
          <w:rFonts w:ascii="Century Gothic" w:hAnsi="Century Gothic"/>
          <w:b/>
          <w:bCs/>
        </w:rPr>
        <w:t>A</w:t>
      </w:r>
      <w:r w:rsidRPr="009019EA">
        <w:rPr>
          <w:rFonts w:ascii="Century Gothic" w:hAnsi="Century Gothic"/>
          <w:b/>
          <w:bCs/>
        </w:rPr>
        <w:t xml:space="preserve"> </w:t>
      </w:r>
      <w:r w:rsidR="00BE6E96" w:rsidRPr="009019EA">
        <w:rPr>
          <w:rFonts w:ascii="Century Gothic" w:hAnsi="Century Gothic"/>
          <w:b/>
          <w:bCs/>
        </w:rPr>
        <w:t xml:space="preserve">EN LA SESIÓN </w:t>
      </w:r>
      <w:r w:rsidRPr="009019EA">
        <w:rPr>
          <w:rFonts w:ascii="Century Gothic" w:hAnsi="Century Gothic"/>
          <w:b/>
          <w:bCs/>
        </w:rPr>
        <w:t>N.°</w:t>
      </w:r>
      <w:r w:rsidR="00BE6E96" w:rsidRPr="009019EA">
        <w:rPr>
          <w:rFonts w:ascii="Century Gothic" w:hAnsi="Century Gothic"/>
          <w:b/>
          <w:bCs/>
        </w:rPr>
        <w:t>2</w:t>
      </w:r>
      <w:r w:rsidR="003B27B5" w:rsidRPr="009019EA">
        <w:rPr>
          <w:rFonts w:ascii="Century Gothic" w:hAnsi="Century Gothic"/>
          <w:b/>
          <w:bCs/>
        </w:rPr>
        <w:t>8</w:t>
      </w:r>
      <w:r w:rsidR="00BE6E96" w:rsidRPr="009019EA">
        <w:rPr>
          <w:rFonts w:ascii="Century Gothic" w:hAnsi="Century Gothic"/>
          <w:b/>
          <w:bCs/>
        </w:rPr>
        <w:t xml:space="preserve"> DE</w:t>
      </w:r>
      <w:r w:rsidR="00213C0E" w:rsidRPr="009019EA">
        <w:rPr>
          <w:rFonts w:ascii="Century Gothic" w:hAnsi="Century Gothic"/>
          <w:b/>
          <w:bCs/>
        </w:rPr>
        <w:t>L PLENARIO LEGISLATIVO EL</w:t>
      </w:r>
      <w:r w:rsidR="00BE6E96" w:rsidRPr="009019EA">
        <w:rPr>
          <w:rFonts w:ascii="Century Gothic" w:hAnsi="Century Gothic"/>
          <w:b/>
          <w:bCs/>
        </w:rPr>
        <w:t xml:space="preserve"> </w:t>
      </w:r>
      <w:r w:rsidR="003B27B5" w:rsidRPr="009019EA">
        <w:rPr>
          <w:rFonts w:ascii="Century Gothic" w:hAnsi="Century Gothic"/>
          <w:b/>
          <w:bCs/>
        </w:rPr>
        <w:t>22</w:t>
      </w:r>
      <w:r w:rsidR="00BE6E96" w:rsidRPr="009019EA">
        <w:rPr>
          <w:rFonts w:ascii="Century Gothic" w:hAnsi="Century Gothic"/>
          <w:b/>
          <w:bCs/>
        </w:rPr>
        <w:t xml:space="preserve"> DE JUNIO DE 2026</w:t>
      </w:r>
      <w:r w:rsidR="00BE6E96" w:rsidRPr="009019EA">
        <w:rPr>
          <w:rFonts w:ascii="Century Gothic" w:hAnsi="Century Gothic"/>
        </w:rPr>
        <w:t xml:space="preserve"> </w:t>
      </w:r>
    </w:p>
    <w:p w14:paraId="13F190A5" w14:textId="77777777" w:rsidR="00BE6E96" w:rsidRPr="009019EA" w:rsidRDefault="00BE6E96" w:rsidP="00BE6E96">
      <w:pPr>
        <w:shd w:val="clear" w:color="auto" w:fill="D9D9D9"/>
        <w:jc w:val="center"/>
        <w:rPr>
          <w:rFonts w:ascii="Century Gothic" w:hAnsi="Century Gothic"/>
        </w:rPr>
      </w:pPr>
    </w:p>
    <w:p w14:paraId="350264F7" w14:textId="6DEA03C3" w:rsidR="00BE6E96" w:rsidRPr="009019EA" w:rsidRDefault="00BE6E96" w:rsidP="00BE6E96">
      <w:pPr>
        <w:shd w:val="clear" w:color="auto" w:fill="D9D9D9"/>
        <w:contextualSpacing/>
        <w:jc w:val="center"/>
        <w:rPr>
          <w:rFonts w:ascii="Century Gothic" w:hAnsi="Century Gothic"/>
          <w:b/>
          <w:bCs/>
          <w:lang w:eastAsia="en-US"/>
        </w:rPr>
      </w:pPr>
      <w:r w:rsidRPr="009019EA">
        <w:rPr>
          <w:rFonts w:ascii="Century Gothic" w:hAnsi="Century Gothic"/>
          <w:b/>
          <w:bCs/>
          <w:lang w:eastAsia="en-US"/>
        </w:rPr>
        <w:t xml:space="preserve">Fecha de actualización: </w:t>
      </w:r>
      <w:r w:rsidR="00A85B5C" w:rsidRPr="009019EA">
        <w:rPr>
          <w:rFonts w:ascii="Century Gothic" w:hAnsi="Century Gothic"/>
          <w:b/>
          <w:bCs/>
          <w:lang w:eastAsia="en-US"/>
        </w:rPr>
        <w:t>22</w:t>
      </w:r>
      <w:r w:rsidRPr="009019EA">
        <w:rPr>
          <w:rFonts w:ascii="Century Gothic" w:hAnsi="Century Gothic"/>
          <w:b/>
          <w:bCs/>
          <w:lang w:eastAsia="en-US"/>
        </w:rPr>
        <w:t>-6-2025</w:t>
      </w:r>
    </w:p>
    <w:p w14:paraId="6F0E31D5" w14:textId="66FF6E06" w:rsidR="00687FCC" w:rsidRPr="009019EA" w:rsidRDefault="00687FCC" w:rsidP="00436CEF">
      <w:pPr>
        <w:jc w:val="center"/>
        <w:rPr>
          <w:rFonts w:ascii="Century Gothic" w:hAnsi="Century Gothic"/>
          <w:b/>
        </w:rPr>
      </w:pPr>
    </w:p>
    <w:p w14:paraId="681E12AC" w14:textId="77777777" w:rsidR="00CA197E" w:rsidRPr="009019EA" w:rsidRDefault="00CA197E" w:rsidP="00CA197E">
      <w:pPr>
        <w:jc w:val="center"/>
        <w:rPr>
          <w:rFonts w:ascii="Times New Roman" w:eastAsia="Times New Roman" w:hAnsi="Times New Roman" w:cs="Times New Roman"/>
        </w:rPr>
      </w:pPr>
      <w:r w:rsidRPr="009019EA">
        <w:rPr>
          <w:rFonts w:ascii="Century Gothic" w:eastAsia="Times New Roman" w:hAnsi="Century Gothic" w:cs="Times New Roman"/>
          <w:b/>
          <w:bCs/>
        </w:rPr>
        <w:t>LA ASAMBLEA LEGISLATIVA DE LA REPÚBLICA DE COSTA RICA</w:t>
      </w:r>
    </w:p>
    <w:p w14:paraId="64BF49B7" w14:textId="77777777" w:rsidR="00CA197E" w:rsidRPr="009019EA" w:rsidRDefault="00CA197E" w:rsidP="00CA197E">
      <w:pPr>
        <w:jc w:val="center"/>
        <w:rPr>
          <w:rFonts w:ascii="Times New Roman" w:eastAsia="Times New Roman" w:hAnsi="Times New Roman" w:cs="Times New Roman"/>
        </w:rPr>
      </w:pPr>
      <w:r w:rsidRPr="009019EA">
        <w:rPr>
          <w:rFonts w:ascii="Century Gothic" w:eastAsia="Times New Roman" w:hAnsi="Century Gothic" w:cs="Times New Roman"/>
          <w:b/>
          <w:bCs/>
        </w:rPr>
        <w:t>DECRETA:</w:t>
      </w:r>
    </w:p>
    <w:p w14:paraId="197BEDA4" w14:textId="77777777" w:rsidR="00CA197E" w:rsidRPr="009019EA" w:rsidRDefault="00CA197E" w:rsidP="00CA197E">
      <w:pPr>
        <w:jc w:val="left"/>
        <w:rPr>
          <w:rFonts w:ascii="Times New Roman" w:eastAsia="Times New Roman" w:hAnsi="Times New Roman" w:cs="Times New Roman"/>
        </w:rPr>
      </w:pPr>
    </w:p>
    <w:p w14:paraId="42585F3B" w14:textId="77777777" w:rsidR="00CA197E" w:rsidRPr="009019EA" w:rsidRDefault="00CA197E" w:rsidP="00CA197E">
      <w:pPr>
        <w:jc w:val="center"/>
        <w:rPr>
          <w:rFonts w:ascii="Times New Roman" w:eastAsia="Times New Roman" w:hAnsi="Times New Roman" w:cs="Times New Roman"/>
        </w:rPr>
      </w:pPr>
      <w:r w:rsidRPr="009019EA">
        <w:rPr>
          <w:rFonts w:ascii="Century Gothic" w:eastAsia="Times New Roman" w:hAnsi="Century Gothic" w:cs="Times New Roman"/>
          <w:b/>
          <w:bCs/>
        </w:rPr>
        <w:t>LEY PARA PROMOVER LA TRANSICIÓN ENERGÉTICA EN EL SECTOR COMBUSTIBLES</w:t>
      </w:r>
    </w:p>
    <w:p w14:paraId="534A2C2E" w14:textId="77777777" w:rsidR="00CA197E" w:rsidRPr="009019EA" w:rsidRDefault="00CA197E" w:rsidP="00CA197E">
      <w:pPr>
        <w:jc w:val="left"/>
        <w:rPr>
          <w:rFonts w:ascii="Times New Roman" w:eastAsia="Times New Roman" w:hAnsi="Times New Roman" w:cs="Times New Roman"/>
        </w:rPr>
      </w:pPr>
    </w:p>
    <w:p w14:paraId="5F8DC111" w14:textId="77777777" w:rsidR="00CA197E" w:rsidRPr="009019EA" w:rsidRDefault="00CA197E" w:rsidP="00CA197E">
      <w:pPr>
        <w:rPr>
          <w:rFonts w:ascii="Times New Roman" w:eastAsia="Times New Roman" w:hAnsi="Times New Roman" w:cs="Times New Roman"/>
        </w:rPr>
      </w:pPr>
      <w:r w:rsidRPr="009019EA">
        <w:rPr>
          <w:rFonts w:ascii="Century Gothic" w:eastAsia="Times New Roman" w:hAnsi="Century Gothic" w:cs="Times New Roman"/>
        </w:rPr>
        <w:t>ARTÍCULO 1- Actividades dentro de la competencia de Recope</w:t>
      </w:r>
    </w:p>
    <w:p w14:paraId="5C3499A4" w14:textId="77777777" w:rsidR="00CA197E" w:rsidRPr="009019EA" w:rsidRDefault="00CA197E" w:rsidP="00CA197E">
      <w:pPr>
        <w:jc w:val="left"/>
        <w:rPr>
          <w:rFonts w:ascii="Times New Roman" w:eastAsia="Times New Roman" w:hAnsi="Times New Roman" w:cs="Times New Roman"/>
        </w:rPr>
      </w:pPr>
    </w:p>
    <w:p w14:paraId="68F71B11" w14:textId="77777777" w:rsidR="00CA197E" w:rsidRPr="009019EA" w:rsidRDefault="00CA197E" w:rsidP="00CA197E">
      <w:pPr>
        <w:rPr>
          <w:rFonts w:ascii="Times New Roman" w:eastAsia="Times New Roman" w:hAnsi="Times New Roman" w:cs="Times New Roman"/>
        </w:rPr>
      </w:pPr>
      <w:r w:rsidRPr="009019EA">
        <w:rPr>
          <w:rFonts w:ascii="Century Gothic" w:eastAsia="Times New Roman" w:hAnsi="Century Gothic" w:cs="Times New Roman"/>
        </w:rPr>
        <w:t>Para que se reforme el párrafo primero y se adicionen dos nuevos párrafos segundo y tercero (el resto queda igual) al artículo 6 de la Ley 6588, de 30 de julio de 1981, Ley que Regula a la Refinadora Costarricense de Petróleo (Recope), para que se lean de la siguiente manera:</w:t>
      </w:r>
    </w:p>
    <w:p w14:paraId="6AD649FE" w14:textId="77777777" w:rsidR="00CA197E" w:rsidRPr="009019EA" w:rsidRDefault="00CA197E" w:rsidP="00CA197E">
      <w:pPr>
        <w:jc w:val="left"/>
        <w:rPr>
          <w:rFonts w:ascii="Times New Roman" w:eastAsia="Times New Roman" w:hAnsi="Times New Roman" w:cs="Times New Roman"/>
        </w:rPr>
      </w:pPr>
    </w:p>
    <w:p w14:paraId="39E187EA" w14:textId="77777777" w:rsidR="00CA197E" w:rsidRPr="009019EA" w:rsidRDefault="00CA197E" w:rsidP="00CA197E">
      <w:pPr>
        <w:rPr>
          <w:rFonts w:ascii="Times New Roman" w:eastAsia="Times New Roman" w:hAnsi="Times New Roman" w:cs="Times New Roman"/>
        </w:rPr>
      </w:pPr>
      <w:r w:rsidRPr="009019EA">
        <w:rPr>
          <w:rFonts w:ascii="Century Gothic" w:eastAsia="Times New Roman" w:hAnsi="Century Gothic" w:cs="Times New Roman"/>
        </w:rPr>
        <w:t>"ARTICULO 6-</w:t>
      </w:r>
    </w:p>
    <w:p w14:paraId="1C27F28D" w14:textId="77777777" w:rsidR="00CA197E" w:rsidRPr="009019EA" w:rsidRDefault="00CA197E" w:rsidP="00CA197E">
      <w:pPr>
        <w:jc w:val="left"/>
        <w:rPr>
          <w:rFonts w:ascii="Times New Roman" w:eastAsia="Times New Roman" w:hAnsi="Times New Roman" w:cs="Times New Roman"/>
        </w:rPr>
      </w:pPr>
    </w:p>
    <w:p w14:paraId="4390DD32" w14:textId="2A81E4C1" w:rsidR="00CA197E" w:rsidRPr="009019EA" w:rsidRDefault="00CA197E" w:rsidP="00CA197E">
      <w:pPr>
        <w:rPr>
          <w:rFonts w:ascii="Times New Roman" w:eastAsia="Times New Roman" w:hAnsi="Times New Roman" w:cs="Times New Roman"/>
        </w:rPr>
      </w:pPr>
      <w:r w:rsidRPr="009019EA">
        <w:rPr>
          <w:rFonts w:ascii="Century Gothic" w:eastAsia="Times New Roman" w:hAnsi="Century Gothic" w:cs="Times New Roman"/>
        </w:rPr>
        <w:t>Los objetivos de la Refinadora Costarricense de Petróleo, S.A. son los siguientes: refinar, transportar y comercializar a granel el petróleo y sus derivados: mantener y desarrollar las instalaciones necesarias para ello y ejercer, en lo que le corresponda</w:t>
      </w:r>
      <w:r w:rsidR="006B77C8" w:rsidRPr="009019EA">
        <w:rPr>
          <w:rFonts w:ascii="Century Gothic" w:eastAsia="Times New Roman" w:hAnsi="Century Gothic" w:cs="Times New Roman"/>
        </w:rPr>
        <w:t>,</w:t>
      </w:r>
      <w:r w:rsidRPr="009019EA">
        <w:rPr>
          <w:rFonts w:ascii="Century Gothic" w:eastAsia="Times New Roman" w:hAnsi="Century Gothic" w:cs="Times New Roman"/>
        </w:rPr>
        <w:t xml:space="preserve"> los planes de desarrollo del sector energía, conforme al Plan Nacional de Desarrollo</w:t>
      </w:r>
      <w:r w:rsidR="00940ABD" w:rsidRPr="009019EA">
        <w:rPr>
          <w:rFonts w:ascii="Century Gothic" w:eastAsia="Times New Roman" w:hAnsi="Century Gothic" w:cs="Times New Roman"/>
        </w:rPr>
        <w:t>.</w:t>
      </w:r>
      <w:r w:rsidRPr="009019EA">
        <w:rPr>
          <w:rFonts w:ascii="Century Gothic" w:eastAsia="Times New Roman" w:hAnsi="Century Gothic" w:cs="Times New Roman"/>
        </w:rPr>
        <w:t xml:space="preserve"> La Reinadora no podrá otorgar préstamos, hacer donaciones, conceder subsidios o subvenciones ni construir oleoductos interoceánicos, sin la previa autorización legal, salvo el caso del Hospicio de Huérfanos de San José, al cual se le podrán otorgar, en forma directa, donaciones de chatarra.</w:t>
      </w:r>
    </w:p>
    <w:p w14:paraId="27829611" w14:textId="77777777" w:rsidR="00CA197E" w:rsidRPr="009019EA" w:rsidRDefault="00CA197E" w:rsidP="00CA197E">
      <w:pPr>
        <w:jc w:val="left"/>
        <w:rPr>
          <w:rFonts w:ascii="Times New Roman" w:eastAsia="Times New Roman" w:hAnsi="Times New Roman" w:cs="Times New Roman"/>
        </w:rPr>
      </w:pPr>
    </w:p>
    <w:p w14:paraId="57C3C7EA" w14:textId="77777777" w:rsidR="00CA197E" w:rsidRPr="009019EA" w:rsidRDefault="00CA197E" w:rsidP="00CA197E">
      <w:pPr>
        <w:rPr>
          <w:rFonts w:ascii="Times New Roman" w:eastAsia="Times New Roman" w:hAnsi="Times New Roman" w:cs="Times New Roman"/>
        </w:rPr>
      </w:pPr>
      <w:r w:rsidRPr="009019EA">
        <w:rPr>
          <w:rFonts w:ascii="Century Gothic" w:eastAsia="Times New Roman" w:hAnsi="Century Gothic" w:cs="Times New Roman"/>
        </w:rPr>
        <w:t xml:space="preserve">Se autoriza a la Refinadora Costarricense de Petróleo a investigar, adquirir, importar, exportar, industrializar, almacenar, transportar y comercializar a granel, hidrocarburos, derivados de hidrocarburos y subproductos, producidos a partir de otras fuentes distintas del petróleo, incluyendo biocombustibles e hidrógeno verde para uso energético en condiciones de competencia y bajo el marco regulador establecido en la Ley N.°7593, Ley de la Autoridad Reguladora de los Servicios Públicos, de 09 de agosto de 1996 y sus reformas; y a realizar alianzas público-público y público-privado en el marco de sus competencias, incluso con </w:t>
      </w:r>
      <w:r w:rsidRPr="009019EA">
        <w:rPr>
          <w:rFonts w:ascii="Century Gothic" w:eastAsia="Times New Roman" w:hAnsi="Century Gothic" w:cs="Times New Roman"/>
        </w:rPr>
        <w:lastRenderedPageBreak/>
        <w:t>productores de hidrocarburos, de derivados de hidrocarburos y de subproductos, producidos a partir de otras fuentes distintas del petróleo para uso energético.</w:t>
      </w:r>
    </w:p>
    <w:p w14:paraId="0CD94FA0" w14:textId="77777777" w:rsidR="00CA197E" w:rsidRPr="009019EA" w:rsidRDefault="00CA197E" w:rsidP="00CA197E">
      <w:pPr>
        <w:jc w:val="left"/>
        <w:rPr>
          <w:rFonts w:ascii="Times New Roman" w:eastAsia="Times New Roman" w:hAnsi="Times New Roman" w:cs="Times New Roman"/>
        </w:rPr>
      </w:pPr>
    </w:p>
    <w:p w14:paraId="07D06B05" w14:textId="77777777" w:rsidR="00CA197E" w:rsidRPr="009019EA" w:rsidRDefault="00CA197E" w:rsidP="00CA197E">
      <w:pPr>
        <w:rPr>
          <w:rFonts w:ascii="Times New Roman" w:eastAsia="Times New Roman" w:hAnsi="Times New Roman" w:cs="Times New Roman"/>
        </w:rPr>
      </w:pPr>
      <w:r w:rsidRPr="009019EA">
        <w:rPr>
          <w:rFonts w:ascii="Century Gothic" w:eastAsia="Times New Roman" w:hAnsi="Century Gothic" w:cs="Times New Roman"/>
        </w:rPr>
        <w:t>Previo a los procesos de adquisición, importación, almacenamiento y comercialización de hidrocarburos, derivados, subproductos o combustibles producidos a partir de fuentes distintas del petróleo e hidrógeno verde para uso energético, RECOPE deberá presentar al ente rector los estudios técnicos У operativos que demuestren la oportunidad y conveniencia de dichas actuaciones, así como su conformidad con la política energética nacional.</w:t>
      </w:r>
    </w:p>
    <w:p w14:paraId="61A653A4" w14:textId="77777777" w:rsidR="00CA197E" w:rsidRPr="009019EA" w:rsidRDefault="00CA197E" w:rsidP="00CA197E">
      <w:pPr>
        <w:jc w:val="left"/>
        <w:rPr>
          <w:rFonts w:ascii="Times New Roman" w:eastAsia="Times New Roman" w:hAnsi="Times New Roman" w:cs="Times New Roman"/>
        </w:rPr>
      </w:pPr>
    </w:p>
    <w:p w14:paraId="44E39697" w14:textId="77777777" w:rsidR="00CA197E" w:rsidRPr="009019EA" w:rsidRDefault="00CA197E" w:rsidP="00CA197E">
      <w:pPr>
        <w:rPr>
          <w:rFonts w:ascii="Times New Roman" w:eastAsia="Times New Roman" w:hAnsi="Times New Roman" w:cs="Times New Roman"/>
        </w:rPr>
      </w:pPr>
      <w:r w:rsidRPr="009019EA">
        <w:rPr>
          <w:rFonts w:ascii="Century Gothic" w:eastAsia="Times New Roman" w:hAnsi="Century Gothic" w:cs="Times New Roman"/>
        </w:rPr>
        <w:t>(...)</w:t>
      </w:r>
    </w:p>
    <w:p w14:paraId="6A14FACA" w14:textId="77777777" w:rsidR="00CA197E" w:rsidRPr="009019EA" w:rsidRDefault="00CA197E" w:rsidP="00CA197E">
      <w:pPr>
        <w:jc w:val="left"/>
        <w:rPr>
          <w:rFonts w:ascii="Times New Roman" w:eastAsia="Times New Roman" w:hAnsi="Times New Roman" w:cs="Times New Roman"/>
        </w:rPr>
      </w:pPr>
    </w:p>
    <w:p w14:paraId="41E612B7" w14:textId="77777777" w:rsidR="00CA197E" w:rsidRPr="009019EA" w:rsidRDefault="00CA197E" w:rsidP="00CA197E">
      <w:pPr>
        <w:rPr>
          <w:rFonts w:ascii="Times New Roman" w:eastAsia="Times New Roman" w:hAnsi="Times New Roman" w:cs="Times New Roman"/>
        </w:rPr>
      </w:pPr>
      <w:r w:rsidRPr="009019EA">
        <w:rPr>
          <w:rFonts w:ascii="Century Gothic" w:eastAsia="Times New Roman" w:hAnsi="Century Gothic" w:cs="Times New Roman"/>
        </w:rPr>
        <w:t>ARTÍCULO 2- Obligación de transición a energías de fuentes renovables</w:t>
      </w:r>
    </w:p>
    <w:p w14:paraId="3268CF92" w14:textId="77777777" w:rsidR="00CA197E" w:rsidRPr="009019EA" w:rsidRDefault="00CA197E" w:rsidP="00CA197E">
      <w:pPr>
        <w:jc w:val="left"/>
        <w:rPr>
          <w:rFonts w:ascii="Times New Roman" w:eastAsia="Times New Roman" w:hAnsi="Times New Roman" w:cs="Times New Roman"/>
        </w:rPr>
      </w:pPr>
    </w:p>
    <w:p w14:paraId="79EFECC0" w14:textId="77777777" w:rsidR="00CA197E" w:rsidRPr="009019EA" w:rsidRDefault="00CA197E" w:rsidP="00CA197E">
      <w:pPr>
        <w:rPr>
          <w:rFonts w:ascii="Times New Roman" w:eastAsia="Times New Roman" w:hAnsi="Times New Roman" w:cs="Times New Roman"/>
        </w:rPr>
      </w:pPr>
      <w:r w:rsidRPr="009019EA">
        <w:rPr>
          <w:rFonts w:ascii="Century Gothic" w:eastAsia="Times New Roman" w:hAnsi="Century Gothic" w:cs="Times New Roman"/>
        </w:rPr>
        <w:t>Adiciónese un nuevo artículo 6 bis a la Ley 6588, de 30 de julio de 1981, Ley que Regula a la Refinadora Costarricense de Petróleo (Recope), para que se lea de la siguiente forma:</w:t>
      </w:r>
    </w:p>
    <w:p w14:paraId="045A845B" w14:textId="77777777" w:rsidR="00CA197E" w:rsidRPr="009019EA" w:rsidRDefault="00CA197E" w:rsidP="00CA197E">
      <w:pPr>
        <w:jc w:val="left"/>
        <w:rPr>
          <w:rFonts w:ascii="Times New Roman" w:eastAsia="Times New Roman" w:hAnsi="Times New Roman" w:cs="Times New Roman"/>
        </w:rPr>
      </w:pPr>
    </w:p>
    <w:p w14:paraId="1F943B40" w14:textId="77777777" w:rsidR="00CA197E" w:rsidRPr="009019EA" w:rsidRDefault="00CA197E" w:rsidP="00CA197E">
      <w:pPr>
        <w:rPr>
          <w:rFonts w:ascii="Times New Roman" w:eastAsia="Times New Roman" w:hAnsi="Times New Roman" w:cs="Times New Roman"/>
        </w:rPr>
      </w:pPr>
      <w:r w:rsidRPr="009019EA">
        <w:rPr>
          <w:rFonts w:ascii="Century Gothic" w:eastAsia="Times New Roman" w:hAnsi="Century Gothic" w:cs="Times New Roman"/>
        </w:rPr>
        <w:t>"ARTÍCULO 6 BIS- El Estado promoverá la transición a energías de fuentes renovables con el fin de reducir la dependencia de combustibles fósiles importados, fortalecer la resiliencia energética del país y garantizar el abastecimiento seguro, competitivo y sostenible de energía para la población y los sectores productivos.</w:t>
      </w:r>
    </w:p>
    <w:p w14:paraId="14B1D5D4" w14:textId="77777777" w:rsidR="00CA197E" w:rsidRPr="009019EA" w:rsidRDefault="00CA197E" w:rsidP="00CA197E">
      <w:pPr>
        <w:jc w:val="left"/>
        <w:rPr>
          <w:rFonts w:ascii="Times New Roman" w:eastAsia="Times New Roman" w:hAnsi="Times New Roman" w:cs="Times New Roman"/>
        </w:rPr>
      </w:pPr>
    </w:p>
    <w:p w14:paraId="0564D5C0" w14:textId="77777777" w:rsidR="00CA197E" w:rsidRPr="009019EA" w:rsidRDefault="00CA197E" w:rsidP="00CA197E">
      <w:pPr>
        <w:rPr>
          <w:rFonts w:ascii="Times New Roman" w:eastAsia="Times New Roman" w:hAnsi="Times New Roman" w:cs="Times New Roman"/>
        </w:rPr>
      </w:pPr>
      <w:r w:rsidRPr="009019EA">
        <w:rPr>
          <w:rFonts w:ascii="Century Gothic" w:eastAsia="Times New Roman" w:hAnsi="Century Gothic" w:cs="Times New Roman"/>
        </w:rPr>
        <w:t>La importación, almacenamiento, transporte, distribución y comercialización de gas natural por parte de la Refinadora Costarricense de Petróleo S.A. (RECOPE) no podrá utilizarse como fundamento para postergar, sustituir o reducir las inversiones destinadas al desarrollo y aprovechamiento de fuentes renovables de energía."</w:t>
      </w:r>
    </w:p>
    <w:p w14:paraId="0868CEEA" w14:textId="77777777" w:rsidR="00CA197E" w:rsidRPr="009019EA" w:rsidRDefault="00CA197E" w:rsidP="00CA197E">
      <w:pPr>
        <w:jc w:val="left"/>
        <w:rPr>
          <w:rFonts w:ascii="Times New Roman" w:eastAsia="Times New Roman" w:hAnsi="Times New Roman" w:cs="Times New Roman"/>
        </w:rPr>
      </w:pPr>
    </w:p>
    <w:p w14:paraId="37D6A845" w14:textId="77777777" w:rsidR="00CA197E" w:rsidRPr="009019EA" w:rsidRDefault="00CA197E" w:rsidP="00CA197E">
      <w:pPr>
        <w:rPr>
          <w:rFonts w:ascii="Times New Roman" w:eastAsia="Times New Roman" w:hAnsi="Times New Roman" w:cs="Times New Roman"/>
        </w:rPr>
      </w:pPr>
      <w:r w:rsidRPr="009019EA">
        <w:rPr>
          <w:rFonts w:ascii="Century Gothic" w:eastAsia="Times New Roman" w:hAnsi="Century Gothic" w:cs="Times New Roman"/>
        </w:rPr>
        <w:t>ARTÍCULO 3- Actividades dentro de la competencia de Aresep</w:t>
      </w:r>
    </w:p>
    <w:p w14:paraId="410240EC" w14:textId="77777777" w:rsidR="00CA197E" w:rsidRPr="009019EA" w:rsidRDefault="00CA197E" w:rsidP="00CA197E">
      <w:pPr>
        <w:jc w:val="left"/>
        <w:rPr>
          <w:rFonts w:ascii="Times New Roman" w:eastAsia="Times New Roman" w:hAnsi="Times New Roman" w:cs="Times New Roman"/>
        </w:rPr>
      </w:pPr>
    </w:p>
    <w:p w14:paraId="0E81801E" w14:textId="77777777" w:rsidR="00CA197E" w:rsidRPr="009019EA" w:rsidRDefault="00CA197E" w:rsidP="00CA197E">
      <w:pPr>
        <w:rPr>
          <w:rFonts w:ascii="Times New Roman" w:eastAsia="Times New Roman" w:hAnsi="Times New Roman" w:cs="Times New Roman"/>
        </w:rPr>
      </w:pPr>
      <w:r w:rsidRPr="009019EA">
        <w:rPr>
          <w:rFonts w:ascii="Century Gothic" w:eastAsia="Times New Roman" w:hAnsi="Century Gothic" w:cs="Times New Roman"/>
        </w:rPr>
        <w:t>Modifíquese el inciso d) del artículo 5 de la Ley 7593, de 5 de setiembre de 1996, Ley de la Autoridad Reguladora de los Servicios Públicos (Aresep), para que se lea de la siguiente manera</w:t>
      </w:r>
    </w:p>
    <w:p w14:paraId="191CC555" w14:textId="77777777" w:rsidR="00CA197E" w:rsidRPr="009019EA" w:rsidRDefault="00CA197E" w:rsidP="00CA197E">
      <w:pPr>
        <w:jc w:val="left"/>
        <w:rPr>
          <w:rFonts w:ascii="Times New Roman" w:eastAsia="Times New Roman" w:hAnsi="Times New Roman" w:cs="Times New Roman"/>
        </w:rPr>
      </w:pPr>
    </w:p>
    <w:p w14:paraId="7FCB1DD3" w14:textId="77777777" w:rsidR="00CA197E" w:rsidRPr="009019EA" w:rsidRDefault="00CA197E" w:rsidP="00CA197E">
      <w:pPr>
        <w:rPr>
          <w:rFonts w:ascii="Times New Roman" w:eastAsia="Times New Roman" w:hAnsi="Times New Roman" w:cs="Times New Roman"/>
        </w:rPr>
      </w:pPr>
      <w:r w:rsidRPr="009019EA">
        <w:rPr>
          <w:rFonts w:ascii="Century Gothic" w:eastAsia="Times New Roman" w:hAnsi="Century Gothic" w:cs="Times New Roman"/>
        </w:rPr>
        <w:t>"Artículo 5- Funciones</w:t>
      </w:r>
    </w:p>
    <w:p w14:paraId="2E442097" w14:textId="77777777" w:rsidR="00CA197E" w:rsidRPr="009019EA" w:rsidRDefault="00CA197E" w:rsidP="00CA197E">
      <w:pPr>
        <w:jc w:val="left"/>
        <w:rPr>
          <w:rFonts w:ascii="Times New Roman" w:eastAsia="Times New Roman" w:hAnsi="Times New Roman" w:cs="Times New Roman"/>
        </w:rPr>
      </w:pPr>
    </w:p>
    <w:p w14:paraId="06A2FAEE" w14:textId="77777777" w:rsidR="00CA197E" w:rsidRPr="009019EA" w:rsidRDefault="00CA197E" w:rsidP="00CA197E">
      <w:pPr>
        <w:rPr>
          <w:rFonts w:ascii="Times New Roman" w:eastAsia="Times New Roman" w:hAnsi="Times New Roman" w:cs="Times New Roman"/>
        </w:rPr>
      </w:pPr>
      <w:r w:rsidRPr="009019EA">
        <w:rPr>
          <w:rFonts w:ascii="Century Gothic" w:eastAsia="Times New Roman" w:hAnsi="Century Gothic" w:cs="Times New Roman"/>
        </w:rPr>
        <w:t>(…)</w:t>
      </w:r>
    </w:p>
    <w:p w14:paraId="3581272C" w14:textId="77777777" w:rsidR="00CA197E" w:rsidRPr="009019EA" w:rsidRDefault="00CA197E" w:rsidP="00CA197E">
      <w:pPr>
        <w:jc w:val="left"/>
        <w:rPr>
          <w:rFonts w:ascii="Times New Roman" w:eastAsia="Times New Roman" w:hAnsi="Times New Roman" w:cs="Times New Roman"/>
        </w:rPr>
      </w:pPr>
    </w:p>
    <w:p w14:paraId="36C88AFE" w14:textId="77777777" w:rsidR="00CA197E" w:rsidRPr="009019EA" w:rsidRDefault="00CA197E" w:rsidP="00CA197E">
      <w:pPr>
        <w:rPr>
          <w:rFonts w:ascii="Times New Roman" w:eastAsia="Times New Roman" w:hAnsi="Times New Roman" w:cs="Times New Roman"/>
        </w:rPr>
      </w:pPr>
      <w:r w:rsidRPr="009019EA">
        <w:rPr>
          <w:rFonts w:ascii="Century Gothic" w:eastAsia="Times New Roman" w:hAnsi="Century Gothic" w:cs="Times New Roman"/>
        </w:rPr>
        <w:t xml:space="preserve">d) Suministro de hidrocarburos, derivados de hidrocarburos, gas, hidrógeno verde para uso energético, asfaltos y naftas, incluido su transporte, dentro de los que se incluyen: 1) los hidrocarburos, derivados de hidrocarburos, gas, hidrógeno verde y biocombustibles para uso energético, asfaltos y naftas destinados a abastecer </w:t>
      </w:r>
      <w:r w:rsidRPr="009019EA">
        <w:rPr>
          <w:rFonts w:ascii="Century Gothic" w:eastAsia="Times New Roman" w:hAnsi="Century Gothic" w:cs="Times New Roman"/>
        </w:rPr>
        <w:lastRenderedPageBreak/>
        <w:t>la demanda nacional en planteles de distribución y 2) los hidrocarburos, derivados de hidrocarburos, gas, hidrógeno verde y biocombustibles para uso energético, asfaltos y naftas destinados al consumidor final. La Autoridad Reguladora deberá fijar las tarifas del transporte que se emplea para el abastecimiento nacional.</w:t>
      </w:r>
    </w:p>
    <w:p w14:paraId="4688FB1B" w14:textId="77777777" w:rsidR="00CA197E" w:rsidRPr="009019EA" w:rsidRDefault="00CA197E" w:rsidP="00CA197E">
      <w:pPr>
        <w:jc w:val="left"/>
        <w:rPr>
          <w:rFonts w:ascii="Times New Roman" w:eastAsia="Times New Roman" w:hAnsi="Times New Roman" w:cs="Times New Roman"/>
        </w:rPr>
      </w:pPr>
    </w:p>
    <w:p w14:paraId="10160391" w14:textId="77777777" w:rsidR="00CA197E" w:rsidRPr="009019EA" w:rsidRDefault="00CA197E" w:rsidP="00CA197E">
      <w:pPr>
        <w:rPr>
          <w:rFonts w:ascii="Times New Roman" w:eastAsia="Times New Roman" w:hAnsi="Times New Roman" w:cs="Times New Roman"/>
        </w:rPr>
      </w:pPr>
      <w:r w:rsidRPr="009019EA">
        <w:rPr>
          <w:rFonts w:ascii="Century Gothic" w:eastAsia="Times New Roman" w:hAnsi="Century Gothic" w:cs="Times New Roman"/>
        </w:rPr>
        <w:t>(…)</w:t>
      </w:r>
    </w:p>
    <w:p w14:paraId="37939377" w14:textId="77777777" w:rsidR="00CA197E" w:rsidRPr="009019EA" w:rsidRDefault="00CA197E" w:rsidP="00CA197E">
      <w:pPr>
        <w:jc w:val="left"/>
        <w:rPr>
          <w:rFonts w:ascii="Times New Roman" w:eastAsia="Times New Roman" w:hAnsi="Times New Roman" w:cs="Times New Roman"/>
        </w:rPr>
      </w:pPr>
    </w:p>
    <w:p w14:paraId="338D0224" w14:textId="77777777" w:rsidR="00CA197E" w:rsidRPr="009019EA" w:rsidRDefault="00CA197E" w:rsidP="00CA197E">
      <w:pPr>
        <w:rPr>
          <w:rFonts w:ascii="Times New Roman" w:eastAsia="Times New Roman" w:hAnsi="Times New Roman" w:cs="Times New Roman"/>
        </w:rPr>
      </w:pPr>
      <w:r w:rsidRPr="009019EA">
        <w:rPr>
          <w:rFonts w:ascii="Century Gothic" w:eastAsia="Times New Roman" w:hAnsi="Century Gothic" w:cs="Times New Roman"/>
        </w:rPr>
        <w:t>Rige a partir de su publicación.</w:t>
      </w:r>
    </w:p>
    <w:p w14:paraId="70398961" w14:textId="77777777" w:rsidR="008066CC" w:rsidRPr="009019EA" w:rsidRDefault="008066CC" w:rsidP="003D15D1">
      <w:pPr>
        <w:rPr>
          <w:rFonts w:ascii="Century Gothic" w:hAnsi="Century Gothic"/>
        </w:rPr>
      </w:pPr>
    </w:p>
    <w:p w14:paraId="141974FD" w14:textId="2F068884" w:rsidR="003D15D1" w:rsidRPr="009019EA" w:rsidRDefault="003D15D1" w:rsidP="003D15D1">
      <w:pPr>
        <w:pBdr>
          <w:top w:val="single" w:sz="4" w:space="1" w:color="auto"/>
        </w:pBdr>
        <w:ind w:right="-522"/>
        <w:contextualSpacing/>
        <w:rPr>
          <w:rFonts w:ascii="Century Gothic" w:hAnsi="Century Gothic"/>
          <w:sz w:val="22"/>
          <w:szCs w:val="22"/>
          <w:lang w:eastAsia="en-US"/>
        </w:rPr>
      </w:pPr>
      <w:r w:rsidRPr="009019EA">
        <w:rPr>
          <w:rFonts w:ascii="Century Gothic" w:hAnsi="Century Gothic"/>
          <w:sz w:val="22"/>
          <w:szCs w:val="22"/>
          <w:lang w:eastAsia="en-US"/>
        </w:rPr>
        <w:fldChar w:fldCharType="begin"/>
      </w:r>
      <w:r w:rsidRPr="009019EA">
        <w:rPr>
          <w:rFonts w:ascii="Century Gothic" w:hAnsi="Century Gothic"/>
          <w:sz w:val="22"/>
          <w:szCs w:val="22"/>
          <w:lang w:eastAsia="en-US"/>
        </w:rPr>
        <w:instrText xml:space="preserve"> FILENAME  \p  \* MERGEFORMAT </w:instrText>
      </w:r>
      <w:r w:rsidRPr="009019EA">
        <w:rPr>
          <w:rFonts w:ascii="Century Gothic" w:hAnsi="Century Gothic"/>
          <w:sz w:val="22"/>
          <w:szCs w:val="22"/>
          <w:lang w:eastAsia="en-US"/>
        </w:rPr>
        <w:fldChar w:fldCharType="separate"/>
      </w:r>
      <w:r w:rsidR="00213C0E" w:rsidRPr="009019EA">
        <w:rPr>
          <w:rFonts w:ascii="Century Gothic" w:hAnsi="Century Gothic"/>
          <w:noProof/>
          <w:sz w:val="22"/>
          <w:szCs w:val="22"/>
          <w:lang w:eastAsia="en-US"/>
        </w:rPr>
        <w:t>G:\Actualizacion de textos\2021-2026\24.079\TEXTO ACTUALIZADO CON MOCIÓN VÍA 148 BIS APROBADA EL 22-6-26_POSTERIOR RETROTRACCIÓN.docx</w:t>
      </w:r>
      <w:r w:rsidRPr="009019EA">
        <w:rPr>
          <w:rFonts w:ascii="Century Gothic" w:hAnsi="Century Gothic"/>
          <w:sz w:val="22"/>
          <w:szCs w:val="22"/>
          <w:lang w:eastAsia="en-US"/>
        </w:rPr>
        <w:fldChar w:fldCharType="end"/>
      </w:r>
    </w:p>
    <w:p w14:paraId="2FA9D1F2" w14:textId="77777777" w:rsidR="003D15D1" w:rsidRPr="009019EA" w:rsidRDefault="003D15D1" w:rsidP="003D15D1">
      <w:pPr>
        <w:rPr>
          <w:rFonts w:ascii="Century Gothic" w:hAnsi="Century Gothic"/>
          <w:sz w:val="22"/>
          <w:szCs w:val="22"/>
        </w:rPr>
      </w:pPr>
      <w:r w:rsidRPr="009019EA">
        <w:rPr>
          <w:rFonts w:ascii="Century Gothic" w:hAnsi="Century Gothic"/>
          <w:sz w:val="22"/>
          <w:szCs w:val="22"/>
        </w:rPr>
        <w:t>Elabora: vrcji</w:t>
      </w:r>
    </w:p>
    <w:p w14:paraId="20E8080F" w14:textId="35FF54B5" w:rsidR="003D15D1" w:rsidRPr="009019EA" w:rsidRDefault="003D15D1" w:rsidP="003D15D1">
      <w:pPr>
        <w:rPr>
          <w:rFonts w:ascii="Century Gothic" w:hAnsi="Century Gothic"/>
          <w:sz w:val="22"/>
          <w:szCs w:val="22"/>
        </w:rPr>
      </w:pPr>
      <w:r w:rsidRPr="009019EA">
        <w:rPr>
          <w:rFonts w:ascii="Century Gothic" w:hAnsi="Century Gothic"/>
          <w:sz w:val="22"/>
          <w:szCs w:val="22"/>
        </w:rPr>
        <w:t xml:space="preserve">Fecha: </w:t>
      </w:r>
      <w:r w:rsidR="00CA197E" w:rsidRPr="009019EA">
        <w:rPr>
          <w:rFonts w:ascii="Century Gothic" w:hAnsi="Century Gothic"/>
          <w:sz w:val="22"/>
          <w:szCs w:val="22"/>
        </w:rPr>
        <w:t>22</w:t>
      </w:r>
      <w:r w:rsidRPr="009019EA">
        <w:rPr>
          <w:rFonts w:ascii="Century Gothic" w:hAnsi="Century Gothic"/>
          <w:sz w:val="22"/>
          <w:szCs w:val="22"/>
        </w:rPr>
        <w:t>-6-25</w:t>
      </w:r>
    </w:p>
    <w:p w14:paraId="0B43E6A8" w14:textId="54DA8B82" w:rsidR="006C750E" w:rsidRPr="009019EA" w:rsidRDefault="00A85B5C" w:rsidP="003D15D1">
      <w:pPr>
        <w:rPr>
          <w:rFonts w:ascii="Century Gothic" w:hAnsi="Century Gothic"/>
          <w:sz w:val="22"/>
          <w:szCs w:val="22"/>
        </w:rPr>
      </w:pPr>
      <w:r w:rsidRPr="009019EA">
        <w:rPr>
          <w:rFonts w:ascii="Century Gothic" w:hAnsi="Century Gothic"/>
          <w:sz w:val="22"/>
          <w:szCs w:val="22"/>
        </w:rPr>
        <w:t>3</w:t>
      </w:r>
      <w:r w:rsidR="003D15D1" w:rsidRPr="009019EA">
        <w:rPr>
          <w:rFonts w:ascii="Century Gothic" w:hAnsi="Century Gothic"/>
          <w:sz w:val="22"/>
          <w:szCs w:val="22"/>
        </w:rPr>
        <w:t xml:space="preserve"> folios de mociones aplicados, moción </w:t>
      </w:r>
      <w:r w:rsidRPr="009019EA">
        <w:rPr>
          <w:rFonts w:ascii="Century Gothic" w:hAnsi="Century Gothic"/>
          <w:sz w:val="22"/>
          <w:szCs w:val="22"/>
        </w:rPr>
        <w:t>1</w:t>
      </w:r>
    </w:p>
    <w:sectPr w:rsidR="006C750E" w:rsidRPr="009019EA">
      <w:headerReference w:type="default" r:id="rId7"/>
      <w:footerReference w:type="default" r:id="rId8"/>
      <w:pgSz w:w="12240" w:h="15840"/>
      <w:pgMar w:top="1418" w:right="1418" w:bottom="1418"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DBF58" w14:textId="77777777" w:rsidR="00EA3E33" w:rsidRDefault="00EA3E33">
      <w:r>
        <w:separator/>
      </w:r>
    </w:p>
  </w:endnote>
  <w:endnote w:type="continuationSeparator" w:id="0">
    <w:p w14:paraId="3A42AF61" w14:textId="77777777" w:rsidR="00EA3E33" w:rsidRDefault="00EA3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97447C9B-C1A5-4FC1-9B7A-43EE8EE9D00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17344E3-BEB7-4F18-A3D6-8CC1ED01E7F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173EC0AF-4C34-4E57-BDB8-0972A851653E}"/>
    <w:embedItalic r:id="rId4" w:fontKey="{8EE4600F-DC5D-49D1-B41D-6C2AFE21553B}"/>
  </w:font>
  <w:font w:name="Century Gothic">
    <w:panose1 w:val="020B0502020202020204"/>
    <w:charset w:val="00"/>
    <w:family w:val="swiss"/>
    <w:pitch w:val="variable"/>
    <w:sig w:usb0="00000287" w:usb1="00000000" w:usb2="00000000" w:usb3="00000000" w:csb0="0000009F" w:csb1="00000000"/>
    <w:embedRegular r:id="rId5" w:fontKey="{34FBCC84-64E3-475C-ACBC-AB6B89520784}"/>
    <w:embedBold r:id="rId6" w:fontKey="{FB3F00FE-9501-41E4-A472-944E7A890F92}"/>
  </w:font>
  <w:font w:name="Cambria">
    <w:panose1 w:val="02040503050406030204"/>
    <w:charset w:val="00"/>
    <w:family w:val="roman"/>
    <w:pitch w:val="variable"/>
    <w:sig w:usb0="E00006FF" w:usb1="420024FF" w:usb2="02000000" w:usb3="00000000" w:csb0="0000019F" w:csb1="00000000"/>
    <w:embedRegular r:id="rId7" w:fontKey="{F97EF4A6-E6C7-4D19-BD3C-E66D52D5EC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2D0E2" w14:textId="77777777" w:rsidR="00F00084" w:rsidRPr="00DA6EA7" w:rsidRDefault="00F00084" w:rsidP="00DA6EA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D2433" w14:textId="77777777" w:rsidR="00EA3E33" w:rsidRDefault="00EA3E33">
      <w:r>
        <w:separator/>
      </w:r>
    </w:p>
  </w:footnote>
  <w:footnote w:type="continuationSeparator" w:id="0">
    <w:p w14:paraId="2EB60CC7" w14:textId="77777777" w:rsidR="00EA3E33" w:rsidRDefault="00EA3E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BEB3C" w14:textId="77777777" w:rsidR="00F00084" w:rsidRDefault="00F00084">
    <w:pPr>
      <w:pBdr>
        <w:top w:val="nil"/>
        <w:left w:val="nil"/>
        <w:bottom w:val="nil"/>
        <w:right w:val="nil"/>
        <w:between w:val="nil"/>
      </w:pBdr>
      <w:tabs>
        <w:tab w:val="center" w:pos="4252"/>
        <w:tab w:val="right" w:pos="8504"/>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5F7812"/>
    <w:multiLevelType w:val="multilevel"/>
    <w:tmpl w:val="35CAEF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8592882"/>
    <w:multiLevelType w:val="multilevel"/>
    <w:tmpl w:val="6B4E0AC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7728528">
    <w:abstractNumId w:val="0"/>
  </w:num>
  <w:num w:numId="2" w16cid:durableId="17142305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084"/>
    <w:rsid w:val="000B0350"/>
    <w:rsid w:val="00213C0E"/>
    <w:rsid w:val="00220115"/>
    <w:rsid w:val="00224B81"/>
    <w:rsid w:val="00227512"/>
    <w:rsid w:val="00287BE8"/>
    <w:rsid w:val="002B21A9"/>
    <w:rsid w:val="002E590F"/>
    <w:rsid w:val="00324B86"/>
    <w:rsid w:val="003577E0"/>
    <w:rsid w:val="003760D9"/>
    <w:rsid w:val="003B27B5"/>
    <w:rsid w:val="003D15D1"/>
    <w:rsid w:val="00413749"/>
    <w:rsid w:val="00436CEF"/>
    <w:rsid w:val="00473ED8"/>
    <w:rsid w:val="00477C4E"/>
    <w:rsid w:val="00492A09"/>
    <w:rsid w:val="00495E7C"/>
    <w:rsid w:val="00500F7F"/>
    <w:rsid w:val="0053467D"/>
    <w:rsid w:val="005452A3"/>
    <w:rsid w:val="005E0244"/>
    <w:rsid w:val="00687D1C"/>
    <w:rsid w:val="00687FCC"/>
    <w:rsid w:val="006B77C8"/>
    <w:rsid w:val="006C0D01"/>
    <w:rsid w:val="006C750E"/>
    <w:rsid w:val="007B5857"/>
    <w:rsid w:val="007C6C8E"/>
    <w:rsid w:val="007D2041"/>
    <w:rsid w:val="007F28F2"/>
    <w:rsid w:val="007F640D"/>
    <w:rsid w:val="008066CC"/>
    <w:rsid w:val="008716F5"/>
    <w:rsid w:val="00891A6A"/>
    <w:rsid w:val="009019EA"/>
    <w:rsid w:val="00940ABD"/>
    <w:rsid w:val="009424CD"/>
    <w:rsid w:val="009970D8"/>
    <w:rsid w:val="009D10D4"/>
    <w:rsid w:val="009E1824"/>
    <w:rsid w:val="00A624E3"/>
    <w:rsid w:val="00A85B5C"/>
    <w:rsid w:val="00B016F0"/>
    <w:rsid w:val="00B07940"/>
    <w:rsid w:val="00B50769"/>
    <w:rsid w:val="00BC4E21"/>
    <w:rsid w:val="00BE6E96"/>
    <w:rsid w:val="00BF5B90"/>
    <w:rsid w:val="00C95147"/>
    <w:rsid w:val="00CA197E"/>
    <w:rsid w:val="00CA68E3"/>
    <w:rsid w:val="00D065F1"/>
    <w:rsid w:val="00D21254"/>
    <w:rsid w:val="00D5111A"/>
    <w:rsid w:val="00D51700"/>
    <w:rsid w:val="00D6313C"/>
    <w:rsid w:val="00DA3114"/>
    <w:rsid w:val="00DA6EA7"/>
    <w:rsid w:val="00E6329E"/>
    <w:rsid w:val="00E97D98"/>
    <w:rsid w:val="00EA3E33"/>
    <w:rsid w:val="00EB279D"/>
    <w:rsid w:val="00F00084"/>
    <w:rsid w:val="00F53918"/>
    <w:rsid w:val="00F67DDA"/>
    <w:rsid w:val="00FE299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D3349"/>
  <w15:docId w15:val="{4F629485-DCBD-498B-B521-4624D38C4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CR" w:eastAsia="es-C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unhideWhenUsed/>
    <w:qFormat/>
    <w:pPr>
      <w:keepNext/>
      <w:keepLines/>
      <w:spacing w:before="200" w:after="120"/>
      <w:outlineLvl w:val="1"/>
    </w:p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B016F0"/>
    <w:pPr>
      <w:tabs>
        <w:tab w:val="center" w:pos="4419"/>
        <w:tab w:val="right" w:pos="8838"/>
      </w:tabs>
    </w:pPr>
  </w:style>
  <w:style w:type="character" w:customStyle="1" w:styleId="EncabezadoCar">
    <w:name w:val="Encabezado Car"/>
    <w:basedOn w:val="Fuentedeprrafopredeter"/>
    <w:link w:val="Encabezado"/>
    <w:uiPriority w:val="99"/>
    <w:rsid w:val="00B016F0"/>
  </w:style>
  <w:style w:type="paragraph" w:styleId="Piedepgina">
    <w:name w:val="footer"/>
    <w:basedOn w:val="Normal"/>
    <w:link w:val="PiedepginaCar"/>
    <w:uiPriority w:val="99"/>
    <w:unhideWhenUsed/>
    <w:rsid w:val="00B016F0"/>
    <w:pPr>
      <w:tabs>
        <w:tab w:val="center" w:pos="4419"/>
        <w:tab w:val="right" w:pos="8838"/>
      </w:tabs>
    </w:pPr>
  </w:style>
  <w:style w:type="character" w:customStyle="1" w:styleId="PiedepginaCar">
    <w:name w:val="Pie de página Car"/>
    <w:basedOn w:val="Fuentedeprrafopredeter"/>
    <w:link w:val="Piedepgina"/>
    <w:uiPriority w:val="99"/>
    <w:rsid w:val="00B016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724</Words>
  <Characters>3982</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Hernandez Brenes</dc:creator>
  <cp:lastModifiedBy>Valeria Renata Cerdas Jimenez</cp:lastModifiedBy>
  <cp:revision>3</cp:revision>
  <cp:lastPrinted>2024-10-08T17:53:00Z</cp:lastPrinted>
  <dcterms:created xsi:type="dcterms:W3CDTF">2026-06-22T23:41:00Z</dcterms:created>
  <dcterms:modified xsi:type="dcterms:W3CDTF">2026-06-22T23:44:00Z</dcterms:modified>
</cp:coreProperties>
</file>